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B6D51" w:rsidRPr="00DB6D51" w:rsidRDefault="00DB6D51">
      <w:pPr>
        <w:rPr>
          <w:b/>
        </w:rPr>
      </w:pPr>
      <w:r w:rsidRPr="00DB6D51">
        <w:rPr>
          <w:b/>
        </w:rPr>
        <w:t>ACO auf Erfolgskurs: Beeindruckender Start in</w:t>
      </w:r>
      <w:r>
        <w:rPr>
          <w:b/>
        </w:rPr>
        <w:t>s</w:t>
      </w:r>
      <w:r w:rsidRPr="00DB6D51">
        <w:rPr>
          <w:b/>
        </w:rPr>
        <w:t xml:space="preserve"> Messejahr 2018</w:t>
      </w:r>
    </w:p>
    <w:p w:rsidR="00DB6D51" w:rsidRDefault="00DB6D51" w:rsidP="00DB6D51">
      <w:r>
        <w:t xml:space="preserve">Mit einem fulminanten Start begann ACO </w:t>
      </w:r>
      <w:r w:rsidR="000B27EC">
        <w:t xml:space="preserve">im neuen Jahr </w:t>
      </w:r>
      <w:r>
        <w:t>den Messemarathon</w:t>
      </w:r>
      <w:r w:rsidR="000B27EC">
        <w:t xml:space="preserve"> 2018, der mit der </w:t>
      </w:r>
      <w:proofErr w:type="spellStart"/>
      <w:r w:rsidR="000B27EC">
        <w:t>InfraTech</w:t>
      </w:r>
      <w:proofErr w:type="spellEnd"/>
      <w:r w:rsidR="000B27EC">
        <w:t xml:space="preserve">, der IFAT und der </w:t>
      </w:r>
      <w:proofErr w:type="spellStart"/>
      <w:r w:rsidR="000B27EC">
        <w:t>GaLaBau</w:t>
      </w:r>
      <w:proofErr w:type="spellEnd"/>
      <w:r w:rsidR="000B27EC">
        <w:t xml:space="preserve"> die wichtigsten Messen für das Unternehmen bereithält</w:t>
      </w:r>
      <w:r>
        <w:t xml:space="preserve">. An den drei Messetagen der </w:t>
      </w:r>
      <w:proofErr w:type="spellStart"/>
      <w:r>
        <w:t>InfraTech</w:t>
      </w:r>
      <w:proofErr w:type="spellEnd"/>
      <w:r>
        <w:t xml:space="preserve"> in Essen informierten sich rund 20 Prozent mehr Fachbesucher als im Jahr 2016 über Neuheiten der Branche. Grund für die deutliche Steigerung der Besucherzahlen war sicherlich die Tatsache, dass sich 218 Aussteller (+20 %) mit ihren Produkten und Dienstleistungen präsentierten.</w:t>
      </w:r>
    </w:p>
    <w:p w:rsidR="00310340" w:rsidRDefault="000B27EC" w:rsidP="00DB6D51">
      <w:r>
        <w:rPr>
          <w:noProof/>
        </w:rPr>
        <w:drawing>
          <wp:anchor distT="0" distB="0" distL="114300" distR="114300" simplePos="0" relativeHeight="251662336" behindDoc="1" locked="0" layoutInCell="1" allowOverlap="1">
            <wp:simplePos x="0" y="0"/>
            <wp:positionH relativeFrom="column">
              <wp:posOffset>-4445</wp:posOffset>
            </wp:positionH>
            <wp:positionV relativeFrom="paragraph">
              <wp:posOffset>56515</wp:posOffset>
            </wp:positionV>
            <wp:extent cx="2326005" cy="1552575"/>
            <wp:effectExtent l="0" t="0" r="0" b="9525"/>
            <wp:wrapTight wrapText="bothSides">
              <wp:wrapPolygon edited="0">
                <wp:start x="0" y="0"/>
                <wp:lineTo x="0" y="21467"/>
                <wp:lineTo x="21405" y="21467"/>
                <wp:lineTo x="21405" y="0"/>
                <wp:lineTo x="0" y="0"/>
              </wp:wrapPolygon>
            </wp:wrapTight>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_DSC4795.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2326005" cy="1552575"/>
                    </a:xfrm>
                    <a:prstGeom prst="rect">
                      <a:avLst/>
                    </a:prstGeom>
                  </pic:spPr>
                </pic:pic>
              </a:graphicData>
            </a:graphic>
            <wp14:sizeRelH relativeFrom="page">
              <wp14:pctWidth>0</wp14:pctWidth>
            </wp14:sizeRelH>
            <wp14:sizeRelV relativeFrom="page">
              <wp14:pctHeight>0</wp14:pctHeight>
            </wp14:sizeRelV>
          </wp:anchor>
        </w:drawing>
      </w:r>
      <w:r>
        <w:t>So war auch</w:t>
      </w:r>
      <w:r w:rsidR="00DB6D51">
        <w:t xml:space="preserve"> ACO von der hohen Qualität </w:t>
      </w:r>
      <w:r w:rsidR="00271080">
        <w:t xml:space="preserve">und Quantität </w:t>
      </w:r>
      <w:r w:rsidR="00DB6D51">
        <w:t xml:space="preserve">der Fachbesucher begeistert. „Der deutliche Anstieg der Besucher auf unserem Messestand spiegelt das große Interesse der Stadtplaner, Bauingenieure, Architekten, Landschaftsarchitekten und Bauunternehmer an unseren </w:t>
      </w:r>
      <w:r w:rsidR="00271080">
        <w:t xml:space="preserve">neuen und </w:t>
      </w:r>
      <w:r w:rsidR="00DB6D51">
        <w:t>bewährten Produkten wider“</w:t>
      </w:r>
      <w:r>
        <w:t xml:space="preserve">, Bernd </w:t>
      </w:r>
      <w:proofErr w:type="spellStart"/>
      <w:r>
        <w:t>Bathke</w:t>
      </w:r>
      <w:proofErr w:type="spellEnd"/>
      <w:r>
        <w:t xml:space="preserve"> (ACO).</w:t>
      </w:r>
      <w:r w:rsidR="00DB6D51">
        <w:t xml:space="preserve"> Auch NRW-Verkehrsminister Hendrik Wüst ließ es sich nach seiner Eröffnungsrede zur </w:t>
      </w:r>
      <w:proofErr w:type="spellStart"/>
      <w:r w:rsidR="00DB6D51">
        <w:t>InfraTech</w:t>
      </w:r>
      <w:proofErr w:type="spellEnd"/>
      <w:r w:rsidR="00DB6D51">
        <w:t xml:space="preserve"> nicht nehmen, sich auf dem ACO Messestand über aktuelle Produktentwicklungen des Marktführers im Bereich Entwässerungstechnik zu informieren.</w:t>
      </w:r>
    </w:p>
    <w:p w:rsidR="000B27EC" w:rsidRPr="00A307FD" w:rsidRDefault="000B27EC" w:rsidP="000B27EC">
      <w:pPr>
        <w:rPr>
          <w:b/>
        </w:rPr>
      </w:pPr>
      <w:r w:rsidRPr="00A307FD">
        <w:rPr>
          <w:b/>
        </w:rPr>
        <w:t xml:space="preserve">ACO auf der IFAT </w:t>
      </w:r>
      <w:r>
        <w:rPr>
          <w:b/>
        </w:rPr>
        <w:t xml:space="preserve">2018 </w:t>
      </w:r>
      <w:r w:rsidRPr="00A307FD">
        <w:rPr>
          <w:b/>
        </w:rPr>
        <w:t>– immer für Überraschungen gut</w:t>
      </w:r>
    </w:p>
    <w:p w:rsidR="000B27EC" w:rsidRDefault="000B27EC" w:rsidP="000B27EC">
      <w:r>
        <w:t>Rechtzeitig zum Startschuss der Weltleitmesse für Umwelttechnologien (IFAT) in München haben die ACO Entwicklungsingenieure ihre Arbeit an neuen Produkten finalisiert und stellen diese der Öffentlichkeit vor. Das Ergebnis: Zukunftsweisende, funktionelle und wirtschaftlich Lösungen, die städtebauliche, architektonische und baukonstruktive Anforderungen an den sensiblen Umgang mit der Ressource Wasser erfüllen.</w:t>
      </w:r>
    </w:p>
    <w:p w:rsidR="000B27EC" w:rsidRDefault="00086540" w:rsidP="000B27EC">
      <w:r>
        <w:t xml:space="preserve">Auf der vergangenen IFAT revolutionierte ACO den Markt mit der ersten Entwässerungsrinne mit serienmäßiger Dichtung am Rinnenstoß - </w:t>
      </w:r>
      <w:proofErr w:type="gramStart"/>
      <w:r>
        <w:t>die Seal</w:t>
      </w:r>
      <w:proofErr w:type="gramEnd"/>
      <w:r>
        <w:t xml:space="preserve"> in Technologie.  In diesem Jahr stellt ACO gleich mehrere innovative Lösungen für </w:t>
      </w:r>
      <w:r w:rsidRPr="00FF6AE0">
        <w:t xml:space="preserve">Regenwassermanagement und Gewässerschutz in den Anwendungsbereichen Infrastruktur, Urban und Industrie und Logistik </w:t>
      </w:r>
      <w:r>
        <w:t>vor.</w:t>
      </w:r>
    </w:p>
    <w:p w:rsidR="000B27EC" w:rsidRDefault="000B27EC" w:rsidP="000B27EC">
      <w:r w:rsidRPr="003B47F7">
        <w:rPr>
          <w:b/>
          <w:bCs/>
        </w:rPr>
        <w:t>Entwässerungssystem für die lineare Brückenentwässerung</w:t>
      </w:r>
    </w:p>
    <w:p w:rsidR="000B27EC" w:rsidRDefault="000B27EC" w:rsidP="000B27EC">
      <w:r w:rsidRPr="00B60476">
        <w:t xml:space="preserve">Die Besucher des </w:t>
      </w:r>
      <w:r>
        <w:t>neu konzipierten</w:t>
      </w:r>
      <w:r w:rsidRPr="00B60476">
        <w:t xml:space="preserve"> ACO Messestandes </w:t>
      </w:r>
      <w:r>
        <w:t xml:space="preserve">erwartet die Präsentation der aktuellsten Produkte, wie die </w:t>
      </w:r>
      <w:r w:rsidRPr="00212D50">
        <w:rPr>
          <w:bCs/>
        </w:rPr>
        <w:t xml:space="preserve">ACO DRAIN® </w:t>
      </w:r>
      <w:proofErr w:type="spellStart"/>
      <w:r w:rsidRPr="00212D50">
        <w:rPr>
          <w:bCs/>
        </w:rPr>
        <w:t>KerbDrain</w:t>
      </w:r>
      <w:proofErr w:type="spellEnd"/>
      <w:r w:rsidRPr="00212D50">
        <w:rPr>
          <w:bCs/>
        </w:rPr>
        <w:t xml:space="preserve"> Bridge</w:t>
      </w:r>
      <w:r>
        <w:rPr>
          <w:bCs/>
        </w:rPr>
        <w:t xml:space="preserve">. </w:t>
      </w:r>
      <w:r w:rsidRPr="003B47F7">
        <w:t xml:space="preserve">Die </w:t>
      </w:r>
      <w:r>
        <w:t xml:space="preserve">aus Polymerbeton gefertigte </w:t>
      </w:r>
      <w:proofErr w:type="spellStart"/>
      <w:r w:rsidRPr="003B47F7">
        <w:t>KerbDrain</w:t>
      </w:r>
      <w:proofErr w:type="spellEnd"/>
      <w:r w:rsidRPr="003B47F7">
        <w:t xml:space="preserve"> Bridge ist eine Hohlbordrinne, die Bordstein/Schrammbord und Entwässerung miteinander kombiniert</w:t>
      </w:r>
      <w:r>
        <w:t xml:space="preserve"> und als</w:t>
      </w:r>
      <w:r w:rsidRPr="003B47F7">
        <w:t xml:space="preserve"> </w:t>
      </w:r>
      <w:r>
        <w:t>li</w:t>
      </w:r>
      <w:r w:rsidRPr="003B47F7">
        <w:t>neare</w:t>
      </w:r>
      <w:r>
        <w:t>s</w:t>
      </w:r>
      <w:r w:rsidRPr="003B47F7">
        <w:t xml:space="preserve"> Entwässerung</w:t>
      </w:r>
      <w:r>
        <w:t>ssystem</w:t>
      </w:r>
      <w:r w:rsidRPr="003B47F7">
        <w:t xml:space="preserve"> im Randbereich</w:t>
      </w:r>
      <w:r>
        <w:t xml:space="preserve"> von Brücken eingesetzt wird</w:t>
      </w:r>
      <w:r w:rsidRPr="003B47F7">
        <w:t>. </w:t>
      </w:r>
      <w:r>
        <w:t>Sie</w:t>
      </w:r>
      <w:r w:rsidRPr="003B47F7">
        <w:t xml:space="preserve"> ist auf die speziellen Anforderungen der Entwässerung beim Neubau und bei der Sanierung von Brücken abgestimmt.</w:t>
      </w:r>
    </w:p>
    <w:p w:rsidR="000B27EC" w:rsidRDefault="000B27EC" w:rsidP="000B27EC">
      <w:r>
        <w:rPr>
          <w:noProof/>
        </w:rPr>
        <w:drawing>
          <wp:anchor distT="0" distB="0" distL="114300" distR="114300" simplePos="0" relativeHeight="251659264" behindDoc="1" locked="0" layoutInCell="1" allowOverlap="1" wp14:anchorId="0B62FE35" wp14:editId="6FBEFCC9">
            <wp:simplePos x="0" y="0"/>
            <wp:positionH relativeFrom="column">
              <wp:posOffset>-4445</wp:posOffset>
            </wp:positionH>
            <wp:positionV relativeFrom="paragraph">
              <wp:posOffset>-3175</wp:posOffset>
            </wp:positionV>
            <wp:extent cx="1590675" cy="1039495"/>
            <wp:effectExtent l="0" t="0" r="9525" b="8255"/>
            <wp:wrapTight wrapText="bothSides">
              <wp:wrapPolygon edited="0">
                <wp:start x="0" y="0"/>
                <wp:lineTo x="0" y="21376"/>
                <wp:lineTo x="21471" y="21376"/>
                <wp:lineTo x="21471" y="0"/>
                <wp:lineTo x="0" y="0"/>
              </wp:wrapPolygon>
            </wp:wrapTight>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CO_KerbDrain_Bridge_133824.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90675" cy="1039495"/>
                    </a:xfrm>
                    <a:prstGeom prst="rect">
                      <a:avLst/>
                    </a:prstGeom>
                  </pic:spPr>
                </pic:pic>
              </a:graphicData>
            </a:graphic>
            <wp14:sizeRelH relativeFrom="page">
              <wp14:pctWidth>0</wp14:pctWidth>
            </wp14:sizeRelH>
            <wp14:sizeRelV relativeFrom="page">
              <wp14:pctHeight>0</wp14:pctHeight>
            </wp14:sizeRelV>
          </wp:anchor>
        </w:drawing>
      </w:r>
      <w:r>
        <w:t>G</w:t>
      </w:r>
      <w:r w:rsidRPr="003B47F7">
        <w:t>egenüber herkömmlichen Brückenabläufen und Entwässerungsrinnen mit Rost</w:t>
      </w:r>
      <w:r>
        <w:t xml:space="preserve"> wird</w:t>
      </w:r>
      <w:r w:rsidRPr="003B47F7">
        <w:t xml:space="preserve"> </w:t>
      </w:r>
      <w:r>
        <w:t>d</w:t>
      </w:r>
      <w:r w:rsidRPr="003B47F7">
        <w:t>ie monolithische Rinne in dem nicht überfahrenden Bereich eingebaut. </w:t>
      </w:r>
      <w:r>
        <w:t>Somit befinden sich keine Entwässerungsb</w:t>
      </w:r>
      <w:r w:rsidRPr="003B47F7">
        <w:t xml:space="preserve">auteile </w:t>
      </w:r>
      <w:r>
        <w:t xml:space="preserve">mehr </w:t>
      </w:r>
      <w:r w:rsidRPr="003B47F7">
        <w:t>im Fahrbahnbereich</w:t>
      </w:r>
      <w:r>
        <w:t>.</w:t>
      </w:r>
      <w:r w:rsidRPr="003B47F7">
        <w:t xml:space="preserve"> Mit ihrer sehr flachen Einbautiefe, hohen Entwässerungsleistung, anprallstabilen Konstruktion und vergleichbare Richtzeichnungsanforderung vereint die neue Rinne die Vorgaben des Marktes. </w:t>
      </w:r>
      <w:r>
        <w:t xml:space="preserve">Die Rinnenelemente </w:t>
      </w:r>
      <w:r w:rsidR="00086540">
        <w:t xml:space="preserve">der </w:t>
      </w:r>
      <w:r>
        <w:t>Belastungsklasse D 400 sind werkseitig mit einer EPDM-Dichtung ausgestattet und schützen somit Auflager und Brückenkonstruktion vor auslaufenden belasteten Oberflächenwasser.</w:t>
      </w:r>
    </w:p>
    <w:p w:rsidR="00233426" w:rsidRDefault="00233426" w:rsidP="000B27EC"/>
    <w:p w:rsidR="000B27EC" w:rsidRDefault="000B27EC" w:rsidP="000B27EC">
      <w:pPr>
        <w:spacing w:after="0"/>
        <w:rPr>
          <w:rFonts w:cstheme="minorHAnsi"/>
          <w:b/>
        </w:rPr>
      </w:pPr>
      <w:r w:rsidRPr="00273BF4">
        <w:rPr>
          <w:rFonts w:cstheme="minorHAnsi"/>
          <w:b/>
        </w:rPr>
        <w:lastRenderedPageBreak/>
        <w:t xml:space="preserve">ACO </w:t>
      </w:r>
      <w:proofErr w:type="spellStart"/>
      <w:r w:rsidRPr="00273BF4">
        <w:rPr>
          <w:rFonts w:cstheme="minorHAnsi"/>
          <w:b/>
        </w:rPr>
        <w:t>Multitop</w:t>
      </w:r>
      <w:proofErr w:type="spellEnd"/>
      <w:r w:rsidRPr="00273BF4">
        <w:rPr>
          <w:rFonts w:cstheme="minorHAnsi"/>
          <w:b/>
        </w:rPr>
        <w:t xml:space="preserve"> </w:t>
      </w:r>
      <w:proofErr w:type="spellStart"/>
      <w:r w:rsidRPr="00273BF4">
        <w:rPr>
          <w:rFonts w:cstheme="minorHAnsi"/>
          <w:b/>
        </w:rPr>
        <w:t>Beguplan</w:t>
      </w:r>
      <w:proofErr w:type="spellEnd"/>
    </w:p>
    <w:p w:rsidR="000B27EC" w:rsidRDefault="000B27EC" w:rsidP="000B27EC">
      <w:pPr>
        <w:rPr>
          <w:rFonts w:eastAsia="Times New Roman" w:cstheme="minorHAnsi"/>
          <w:lang w:eastAsia="de-DE"/>
        </w:rPr>
      </w:pPr>
      <w:r w:rsidRPr="00273BF4">
        <w:rPr>
          <w:rFonts w:eastAsia="Times New Roman" w:cstheme="minorHAnsi"/>
          <w:lang w:eastAsia="de-DE"/>
        </w:rPr>
        <w:t>Die Lebensdauer von Schachtabdeckungen ist von vielen Faktoren wie</w:t>
      </w:r>
      <w:r>
        <w:rPr>
          <w:rFonts w:eastAsia="Times New Roman" w:cstheme="minorHAnsi"/>
          <w:lang w:eastAsia="de-DE"/>
        </w:rPr>
        <w:t xml:space="preserve"> </w:t>
      </w:r>
      <w:r w:rsidR="00086540">
        <w:rPr>
          <w:rFonts w:eastAsia="Times New Roman" w:cstheme="minorHAnsi"/>
          <w:lang w:eastAsia="de-DE"/>
        </w:rPr>
        <w:t>beispielsweise</w:t>
      </w:r>
      <w:r w:rsidRPr="00273BF4">
        <w:rPr>
          <w:rFonts w:eastAsia="Times New Roman" w:cstheme="minorHAnsi"/>
          <w:lang w:eastAsia="de-DE"/>
        </w:rPr>
        <w:t xml:space="preserve"> Materialqualität, Montage und </w:t>
      </w:r>
      <w:r>
        <w:t xml:space="preserve">Einbausituation </w:t>
      </w:r>
      <w:r w:rsidRPr="00273BF4">
        <w:rPr>
          <w:rFonts w:eastAsia="Times New Roman" w:cstheme="minorHAnsi"/>
          <w:lang w:eastAsia="de-DE"/>
        </w:rPr>
        <w:t xml:space="preserve">abhängig. </w:t>
      </w:r>
      <w:r>
        <w:rPr>
          <w:rFonts w:eastAsia="Times New Roman" w:cstheme="minorHAnsi"/>
          <w:lang w:eastAsia="de-DE"/>
        </w:rPr>
        <w:t>Vertieft sitzende</w:t>
      </w:r>
      <w:r w:rsidRPr="00273BF4">
        <w:rPr>
          <w:rFonts w:eastAsia="Times New Roman" w:cstheme="minorHAnsi"/>
          <w:lang w:eastAsia="de-DE"/>
        </w:rPr>
        <w:t xml:space="preserve"> Schachtabdeckung</w:t>
      </w:r>
      <w:r>
        <w:rPr>
          <w:rFonts w:eastAsia="Times New Roman" w:cstheme="minorHAnsi"/>
          <w:lang w:eastAsia="de-DE"/>
        </w:rPr>
        <w:t>en</w:t>
      </w:r>
      <w:r w:rsidRPr="00273BF4">
        <w:rPr>
          <w:rFonts w:eastAsia="Times New Roman" w:cstheme="minorHAnsi"/>
          <w:lang w:eastAsia="de-DE"/>
        </w:rPr>
        <w:t xml:space="preserve"> </w:t>
      </w:r>
      <w:r>
        <w:rPr>
          <w:rFonts w:eastAsia="Times New Roman" w:cstheme="minorHAnsi"/>
          <w:lang w:eastAsia="de-DE"/>
        </w:rPr>
        <w:t>erzeugen</w:t>
      </w:r>
      <w:r w:rsidRPr="00273BF4">
        <w:rPr>
          <w:rFonts w:eastAsia="Times New Roman" w:cstheme="minorHAnsi"/>
          <w:lang w:eastAsia="de-DE"/>
        </w:rPr>
        <w:t xml:space="preserve"> "Schlagloch-Effekt</w:t>
      </w:r>
      <w:r>
        <w:rPr>
          <w:rFonts w:eastAsia="Times New Roman" w:cstheme="minorHAnsi"/>
          <w:lang w:eastAsia="de-DE"/>
        </w:rPr>
        <w:t>e</w:t>
      </w:r>
      <w:r w:rsidRPr="00273BF4">
        <w:rPr>
          <w:rFonts w:eastAsia="Times New Roman" w:cstheme="minorHAnsi"/>
          <w:lang w:eastAsia="de-DE"/>
        </w:rPr>
        <w:t>" und Lärmemissionen.</w:t>
      </w:r>
      <w:r>
        <w:rPr>
          <w:rFonts w:eastAsia="Times New Roman" w:cstheme="minorHAnsi"/>
          <w:lang w:eastAsia="de-DE"/>
        </w:rPr>
        <w:t xml:space="preserve"> S</w:t>
      </w:r>
      <w:r w:rsidRPr="00273BF4">
        <w:rPr>
          <w:rFonts w:eastAsia="Times New Roman" w:cstheme="minorHAnsi"/>
          <w:lang w:eastAsia="de-DE"/>
        </w:rPr>
        <w:t xml:space="preserve">chadhafte </w:t>
      </w:r>
      <w:r>
        <w:rPr>
          <w:rFonts w:eastAsia="Times New Roman" w:cstheme="minorHAnsi"/>
          <w:lang w:eastAsia="de-DE"/>
        </w:rPr>
        <w:t>Abdeckungen</w:t>
      </w:r>
      <w:r w:rsidRPr="00273BF4">
        <w:rPr>
          <w:rFonts w:eastAsia="Times New Roman" w:cstheme="minorHAnsi"/>
          <w:lang w:eastAsia="de-DE"/>
        </w:rPr>
        <w:t xml:space="preserve"> verursachen hohe Sanierungskosten. Schwachstellen </w:t>
      </w:r>
      <w:r>
        <w:rPr>
          <w:rFonts w:eastAsia="Times New Roman" w:cstheme="minorHAnsi"/>
          <w:lang w:eastAsia="de-DE"/>
        </w:rPr>
        <w:t>bei</w:t>
      </w:r>
      <w:r w:rsidRPr="00273BF4">
        <w:rPr>
          <w:rFonts w:eastAsia="Times New Roman" w:cstheme="minorHAnsi"/>
          <w:lang w:eastAsia="de-DE"/>
        </w:rPr>
        <w:t xml:space="preserve"> herkömmlicher Bauweise sind die Mörtelfuge </w:t>
      </w:r>
      <w:r>
        <w:rPr>
          <w:rFonts w:eastAsia="Times New Roman" w:cstheme="minorHAnsi"/>
          <w:lang w:eastAsia="de-DE"/>
        </w:rPr>
        <w:t xml:space="preserve">unterhalb des Rahmens </w:t>
      </w:r>
      <w:r w:rsidRPr="00273BF4">
        <w:rPr>
          <w:rFonts w:eastAsia="Times New Roman" w:cstheme="minorHAnsi"/>
          <w:lang w:eastAsia="de-DE"/>
        </w:rPr>
        <w:t>sowie</w:t>
      </w:r>
      <w:r>
        <w:rPr>
          <w:rFonts w:eastAsia="Times New Roman" w:cstheme="minorHAnsi"/>
          <w:lang w:eastAsia="de-DE"/>
        </w:rPr>
        <w:t xml:space="preserve"> eine </w:t>
      </w:r>
      <w:r w:rsidRPr="00273BF4">
        <w:rPr>
          <w:rFonts w:eastAsia="Times New Roman" w:cstheme="minorHAnsi"/>
          <w:lang w:eastAsia="de-DE"/>
        </w:rPr>
        <w:t xml:space="preserve">fehlende Entkopplung des Schachtkopfes </w:t>
      </w:r>
      <w:r>
        <w:rPr>
          <w:rFonts w:eastAsia="Times New Roman" w:cstheme="minorHAnsi"/>
          <w:lang w:eastAsia="de-DE"/>
        </w:rPr>
        <w:t xml:space="preserve">vom </w:t>
      </w:r>
      <w:r w:rsidRPr="00273BF4">
        <w:rPr>
          <w:rFonts w:eastAsia="Times New Roman" w:cstheme="minorHAnsi"/>
          <w:lang w:eastAsia="de-DE"/>
        </w:rPr>
        <w:t>Straßenbelag.</w:t>
      </w:r>
      <w:r>
        <w:rPr>
          <w:rFonts w:eastAsia="Times New Roman" w:cstheme="minorHAnsi"/>
          <w:lang w:eastAsia="de-DE"/>
        </w:rPr>
        <w:t xml:space="preserve"> </w:t>
      </w:r>
      <w:r w:rsidRPr="00273BF4">
        <w:rPr>
          <w:rFonts w:eastAsia="Times New Roman" w:cstheme="minorHAnsi"/>
          <w:lang w:eastAsia="de-DE"/>
        </w:rPr>
        <w:t xml:space="preserve">Um </w:t>
      </w:r>
      <w:r>
        <w:rPr>
          <w:rFonts w:eastAsia="Times New Roman" w:cstheme="minorHAnsi"/>
          <w:lang w:eastAsia="de-DE"/>
        </w:rPr>
        <w:t>diese</w:t>
      </w:r>
      <w:r w:rsidRPr="00273BF4">
        <w:rPr>
          <w:rFonts w:eastAsia="Times New Roman" w:cstheme="minorHAnsi"/>
          <w:lang w:eastAsia="de-DE"/>
        </w:rPr>
        <w:t xml:space="preserve"> Schwachstellen zu vermeiden, sind Schachtabdeckungen mit großer Aufstandsfläche eine </w:t>
      </w:r>
      <w:r>
        <w:rPr>
          <w:rFonts w:eastAsia="Times New Roman" w:cstheme="minorHAnsi"/>
          <w:lang w:eastAsia="de-DE"/>
        </w:rPr>
        <w:t xml:space="preserve">gute </w:t>
      </w:r>
      <w:r w:rsidRPr="00273BF4">
        <w:rPr>
          <w:rFonts w:eastAsia="Times New Roman" w:cstheme="minorHAnsi"/>
          <w:lang w:eastAsia="de-DE"/>
        </w:rPr>
        <w:t>Alternative.</w:t>
      </w:r>
    </w:p>
    <w:p w:rsidR="000B27EC" w:rsidRDefault="000B27EC" w:rsidP="000B27EC">
      <w:pPr>
        <w:rPr>
          <w:rFonts w:cstheme="minorHAnsi"/>
          <w:b/>
        </w:rPr>
      </w:pPr>
      <w:r w:rsidRPr="00273BF4">
        <w:rPr>
          <w:rFonts w:cstheme="minorHAnsi"/>
          <w:b/>
        </w:rPr>
        <w:t>Neue Schachtabdeckung mit vergrößerter Aufstandsfläche</w:t>
      </w:r>
      <w:r>
        <w:rPr>
          <w:rFonts w:cstheme="minorHAnsi"/>
          <w:b/>
        </w:rPr>
        <w:t xml:space="preserve"> entlastet die Mörtelfuge und</w:t>
      </w:r>
      <w:r w:rsidRPr="00273BF4">
        <w:rPr>
          <w:rFonts w:cstheme="minorHAnsi"/>
          <w:b/>
        </w:rPr>
        <w:t xml:space="preserve"> verbessert Entkopplung von Straßenbelag und Schachtkopf</w:t>
      </w:r>
      <w:r>
        <w:rPr>
          <w:rFonts w:cstheme="minorHAnsi"/>
          <w:b/>
        </w:rPr>
        <w:t>.</w:t>
      </w:r>
    </w:p>
    <w:p w:rsidR="000B27EC" w:rsidRDefault="000B27EC" w:rsidP="000B27EC">
      <w:pPr>
        <w:rPr>
          <w:rFonts w:cstheme="minorHAnsi"/>
          <w:bCs/>
        </w:rPr>
      </w:pPr>
      <w:r>
        <w:rPr>
          <w:rFonts w:eastAsia="Times New Roman" w:cstheme="minorHAnsi"/>
          <w:noProof/>
          <w:lang w:eastAsia="de-DE"/>
        </w:rPr>
        <w:drawing>
          <wp:anchor distT="0" distB="0" distL="114300" distR="114300" simplePos="0" relativeHeight="251660288" behindDoc="1" locked="0" layoutInCell="1" allowOverlap="1" wp14:anchorId="0CF49A71" wp14:editId="1ED5986D">
            <wp:simplePos x="0" y="0"/>
            <wp:positionH relativeFrom="column">
              <wp:posOffset>-4445</wp:posOffset>
            </wp:positionH>
            <wp:positionV relativeFrom="paragraph">
              <wp:posOffset>-635</wp:posOffset>
            </wp:positionV>
            <wp:extent cx="1390650" cy="908399"/>
            <wp:effectExtent l="0" t="0" r="0" b="6350"/>
            <wp:wrapTight wrapText="bothSides">
              <wp:wrapPolygon edited="0">
                <wp:start x="0" y="0"/>
                <wp:lineTo x="0" y="21298"/>
                <wp:lineTo x="21304" y="21298"/>
                <wp:lineTo x="21304" y="0"/>
                <wp:lineTo x="0" y="0"/>
              </wp:wrapPolygon>
            </wp:wrapTight>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eguplan.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390650" cy="908399"/>
                    </a:xfrm>
                    <a:prstGeom prst="rect">
                      <a:avLst/>
                    </a:prstGeom>
                  </pic:spPr>
                </pic:pic>
              </a:graphicData>
            </a:graphic>
            <wp14:sizeRelH relativeFrom="page">
              <wp14:pctWidth>0</wp14:pctWidth>
            </wp14:sizeRelH>
            <wp14:sizeRelV relativeFrom="page">
              <wp14:pctHeight>0</wp14:pctHeight>
            </wp14:sizeRelV>
          </wp:anchor>
        </w:drawing>
      </w:r>
      <w:r>
        <w:rPr>
          <w:rFonts w:eastAsia="Times New Roman" w:cstheme="minorHAnsi"/>
          <w:lang w:eastAsia="de-DE"/>
        </w:rPr>
        <w:t xml:space="preserve">Mit </w:t>
      </w:r>
      <w:r w:rsidRPr="00273BF4">
        <w:rPr>
          <w:rFonts w:eastAsia="Times New Roman" w:cstheme="minorHAnsi"/>
          <w:lang w:eastAsia="de-DE"/>
        </w:rPr>
        <w:t>Schachtabdeckung</w:t>
      </w:r>
      <w:r>
        <w:rPr>
          <w:rFonts w:eastAsia="Times New Roman" w:cstheme="minorHAnsi"/>
          <w:lang w:eastAsia="de-DE"/>
        </w:rPr>
        <w:t xml:space="preserve">en ACO </w:t>
      </w:r>
      <w:proofErr w:type="spellStart"/>
      <w:r w:rsidRPr="00273BF4">
        <w:rPr>
          <w:rFonts w:eastAsia="Times New Roman" w:cstheme="minorHAnsi"/>
          <w:lang w:eastAsia="de-DE"/>
        </w:rPr>
        <w:t>Multitop</w:t>
      </w:r>
      <w:proofErr w:type="spellEnd"/>
      <w:r w:rsidRPr="00273BF4">
        <w:rPr>
          <w:rFonts w:eastAsia="Times New Roman" w:cstheme="minorHAnsi"/>
          <w:lang w:eastAsia="de-DE"/>
        </w:rPr>
        <w:t xml:space="preserve"> </w:t>
      </w:r>
      <w:proofErr w:type="spellStart"/>
      <w:r w:rsidRPr="00273BF4">
        <w:rPr>
          <w:rFonts w:eastAsia="Times New Roman" w:cstheme="minorHAnsi"/>
          <w:lang w:eastAsia="de-DE"/>
        </w:rPr>
        <w:t>Beguplan</w:t>
      </w:r>
      <w:proofErr w:type="spellEnd"/>
      <w:r w:rsidRPr="00273BF4">
        <w:rPr>
          <w:rFonts w:eastAsia="Times New Roman" w:cstheme="minorHAnsi"/>
          <w:lang w:eastAsia="de-DE"/>
        </w:rPr>
        <w:t xml:space="preserve"> für Fahrbahnen von Straßen, Industrieflächen</w:t>
      </w:r>
      <w:r>
        <w:rPr>
          <w:rFonts w:eastAsia="Times New Roman" w:cstheme="minorHAnsi"/>
          <w:lang w:eastAsia="de-DE"/>
        </w:rPr>
        <w:t xml:space="preserve"> und </w:t>
      </w:r>
      <w:r w:rsidRPr="00273BF4">
        <w:rPr>
          <w:rFonts w:eastAsia="Times New Roman" w:cstheme="minorHAnsi"/>
          <w:lang w:eastAsia="de-DE"/>
        </w:rPr>
        <w:t>Flughäfen</w:t>
      </w:r>
      <w:r>
        <w:rPr>
          <w:rFonts w:eastAsia="Times New Roman" w:cstheme="minorHAnsi"/>
          <w:lang w:eastAsia="de-DE"/>
        </w:rPr>
        <w:t xml:space="preserve"> wird </w:t>
      </w:r>
      <w:r w:rsidRPr="00273BF4">
        <w:rPr>
          <w:rFonts w:eastAsia="Times New Roman" w:cstheme="minorHAnsi"/>
          <w:lang w:eastAsia="de-DE"/>
        </w:rPr>
        <w:t xml:space="preserve">die Mörtelfuge </w:t>
      </w:r>
      <w:r>
        <w:rPr>
          <w:rFonts w:eastAsia="Times New Roman" w:cstheme="minorHAnsi"/>
          <w:lang w:eastAsia="de-DE"/>
        </w:rPr>
        <w:t xml:space="preserve">durch die vergrößerte Aufstandsfläche des Rahmens </w:t>
      </w:r>
      <w:r w:rsidRPr="00273BF4">
        <w:rPr>
          <w:rFonts w:cstheme="minorHAnsi"/>
          <w:bCs/>
        </w:rPr>
        <w:t xml:space="preserve">um </w:t>
      </w:r>
      <w:r w:rsidR="00086540">
        <w:rPr>
          <w:rFonts w:cstheme="minorHAnsi"/>
          <w:bCs/>
        </w:rPr>
        <w:t>zirka</w:t>
      </w:r>
      <w:r w:rsidRPr="00273BF4">
        <w:rPr>
          <w:rFonts w:cstheme="minorHAnsi"/>
          <w:bCs/>
        </w:rPr>
        <w:t xml:space="preserve"> 60</w:t>
      </w:r>
      <w:r>
        <w:rPr>
          <w:rFonts w:cstheme="minorHAnsi"/>
          <w:bCs/>
        </w:rPr>
        <w:t xml:space="preserve"> Prozent</w:t>
      </w:r>
      <w:r w:rsidRPr="00273BF4">
        <w:rPr>
          <w:rFonts w:cstheme="minorHAnsi"/>
          <w:bCs/>
        </w:rPr>
        <w:t xml:space="preserve"> </w:t>
      </w:r>
      <w:r w:rsidRPr="00273BF4">
        <w:rPr>
          <w:rFonts w:eastAsia="Times New Roman" w:cstheme="minorHAnsi"/>
          <w:lang w:eastAsia="de-DE"/>
        </w:rPr>
        <w:t xml:space="preserve">entlastet. </w:t>
      </w:r>
      <w:r>
        <w:rPr>
          <w:rFonts w:eastAsia="Times New Roman" w:cstheme="minorHAnsi"/>
          <w:lang w:eastAsia="de-DE"/>
        </w:rPr>
        <w:t xml:space="preserve">Die zylindrische Außenkontur des Rahmens ermöglicht eine fachgerechte Fugenausbildung und damit die Entkopplung von Schachtkopf und Straßenbelag. </w:t>
      </w:r>
      <w:r w:rsidR="00086540">
        <w:rPr>
          <w:rFonts w:eastAsia="Times New Roman" w:cstheme="minorHAnsi"/>
          <w:lang w:eastAsia="de-DE"/>
        </w:rPr>
        <w:t>Die</w:t>
      </w:r>
      <w:r w:rsidRPr="00273BF4">
        <w:rPr>
          <w:rFonts w:eastAsia="Times New Roman" w:cstheme="minorHAnsi"/>
          <w:lang w:eastAsia="de-DE"/>
        </w:rPr>
        <w:t xml:space="preserve"> Schachtabdeckung</w:t>
      </w:r>
      <w:r>
        <w:rPr>
          <w:rFonts w:eastAsia="Times New Roman" w:cstheme="minorHAnsi"/>
          <w:lang w:eastAsia="de-DE"/>
        </w:rPr>
        <w:t xml:space="preserve">en </w:t>
      </w:r>
      <w:bookmarkStart w:id="0" w:name="_GoBack"/>
      <w:bookmarkEnd w:id="0"/>
      <w:r>
        <w:rPr>
          <w:rFonts w:eastAsia="Times New Roman" w:cstheme="minorHAnsi"/>
          <w:lang w:eastAsia="de-DE"/>
        </w:rPr>
        <w:t>sind</w:t>
      </w:r>
      <w:r w:rsidRPr="00273BF4">
        <w:rPr>
          <w:rFonts w:eastAsia="Times New Roman" w:cstheme="minorHAnsi"/>
          <w:lang w:eastAsia="de-DE"/>
        </w:rPr>
        <w:t xml:space="preserve"> auch </w:t>
      </w:r>
      <w:r w:rsidRPr="00273BF4">
        <w:rPr>
          <w:rFonts w:cstheme="minorHAnsi"/>
          <w:bCs/>
        </w:rPr>
        <w:t xml:space="preserve">für Spezialbeläge wie OPA, </w:t>
      </w:r>
      <w:proofErr w:type="spellStart"/>
      <w:r w:rsidRPr="00273BF4">
        <w:rPr>
          <w:rFonts w:cstheme="minorHAnsi"/>
          <w:bCs/>
        </w:rPr>
        <w:t>Splittmastix</w:t>
      </w:r>
      <w:proofErr w:type="spellEnd"/>
      <w:r w:rsidRPr="00273BF4">
        <w:rPr>
          <w:rFonts w:cstheme="minorHAnsi"/>
          <w:bCs/>
        </w:rPr>
        <w:t xml:space="preserve"> und dünne </w:t>
      </w:r>
      <w:r>
        <w:rPr>
          <w:rFonts w:cstheme="minorHAnsi"/>
          <w:bCs/>
        </w:rPr>
        <w:t xml:space="preserve">Deckschichten </w:t>
      </w:r>
      <w:r w:rsidRPr="00273BF4">
        <w:rPr>
          <w:rFonts w:cstheme="minorHAnsi"/>
          <w:bCs/>
        </w:rPr>
        <w:t xml:space="preserve">geeignet </w:t>
      </w:r>
      <w:r>
        <w:rPr>
          <w:rFonts w:cstheme="minorHAnsi"/>
          <w:bCs/>
        </w:rPr>
        <w:t xml:space="preserve">und können </w:t>
      </w:r>
      <w:r w:rsidRPr="00273BF4">
        <w:rPr>
          <w:rFonts w:cstheme="minorHAnsi"/>
          <w:bCs/>
        </w:rPr>
        <w:t xml:space="preserve">ohne Spezialwerkzeug schnell eingebaut werden. Neben den </w:t>
      </w:r>
      <w:r>
        <w:rPr>
          <w:rFonts w:cstheme="minorHAnsi"/>
          <w:bCs/>
        </w:rPr>
        <w:t>verbesserten</w:t>
      </w:r>
      <w:r w:rsidRPr="00273BF4">
        <w:rPr>
          <w:rFonts w:cstheme="minorHAnsi"/>
          <w:bCs/>
        </w:rPr>
        <w:t xml:space="preserve"> Eigenschaften vereint die </w:t>
      </w:r>
      <w:r>
        <w:rPr>
          <w:rFonts w:cstheme="minorHAnsi"/>
          <w:bCs/>
        </w:rPr>
        <w:t xml:space="preserve">neue </w:t>
      </w:r>
      <w:r w:rsidRPr="00273BF4">
        <w:rPr>
          <w:rFonts w:cstheme="minorHAnsi"/>
          <w:bCs/>
        </w:rPr>
        <w:t xml:space="preserve">ACO Schachtabdeckung auch die Stärken der bewährten ACO </w:t>
      </w:r>
      <w:proofErr w:type="spellStart"/>
      <w:r w:rsidRPr="00273BF4">
        <w:rPr>
          <w:rFonts w:cstheme="minorHAnsi"/>
          <w:bCs/>
        </w:rPr>
        <w:t>Multitop</w:t>
      </w:r>
      <w:proofErr w:type="spellEnd"/>
      <w:r w:rsidRPr="00273BF4">
        <w:rPr>
          <w:rFonts w:cstheme="minorHAnsi"/>
          <w:bCs/>
        </w:rPr>
        <w:t xml:space="preserve"> Schachtabdeckungen</w:t>
      </w:r>
      <w:r>
        <w:rPr>
          <w:rFonts w:cstheme="minorHAnsi"/>
          <w:bCs/>
        </w:rPr>
        <w:t xml:space="preserve">, wie die dämpfende Einlage im Rahmen, den </w:t>
      </w:r>
      <w:r>
        <w:t xml:space="preserve">großen </w:t>
      </w:r>
      <w:r w:rsidRPr="00890B55">
        <w:t>Lüftungsquerschnitt</w:t>
      </w:r>
      <w:r>
        <w:rPr>
          <w:rFonts w:cstheme="minorHAnsi"/>
          <w:bCs/>
        </w:rPr>
        <w:t xml:space="preserve"> und das </w:t>
      </w:r>
      <w:r>
        <w:t xml:space="preserve">griffige </w:t>
      </w:r>
      <w:r w:rsidRPr="00890B55">
        <w:t>Oberflächendesign</w:t>
      </w:r>
      <w:r>
        <w:t xml:space="preserve"> </w:t>
      </w:r>
      <w:r>
        <w:rPr>
          <w:rFonts w:cstheme="minorHAnsi"/>
          <w:bCs/>
        </w:rPr>
        <w:t>in sich.</w:t>
      </w:r>
    </w:p>
    <w:p w:rsidR="000B27EC" w:rsidRPr="0071356F" w:rsidRDefault="000B27EC" w:rsidP="000B27EC">
      <w:pPr>
        <w:rPr>
          <w:b/>
        </w:rPr>
      </w:pPr>
      <w:r w:rsidRPr="0071356F">
        <w:rPr>
          <w:b/>
        </w:rPr>
        <w:t>Multiline HD Seal in für stark belastete Verkehrsflächen</w:t>
      </w:r>
    </w:p>
    <w:p w:rsidR="000B27EC" w:rsidRDefault="000B27EC" w:rsidP="000B27EC">
      <w:r>
        <w:rPr>
          <w:noProof/>
        </w:rPr>
        <w:drawing>
          <wp:anchor distT="0" distB="0" distL="114300" distR="114300" simplePos="0" relativeHeight="251661312" behindDoc="1" locked="0" layoutInCell="1" allowOverlap="1" wp14:anchorId="034549FE" wp14:editId="14345830">
            <wp:simplePos x="0" y="0"/>
            <wp:positionH relativeFrom="column">
              <wp:posOffset>-4445</wp:posOffset>
            </wp:positionH>
            <wp:positionV relativeFrom="paragraph">
              <wp:posOffset>774065</wp:posOffset>
            </wp:positionV>
            <wp:extent cx="2505075" cy="1878330"/>
            <wp:effectExtent l="0" t="0" r="0" b="0"/>
            <wp:wrapSquare wrapText="bothSides"/>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W 100 Gusszarge mit Gussrost Eutin_final.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505075" cy="1878330"/>
                    </a:xfrm>
                    <a:prstGeom prst="rect">
                      <a:avLst/>
                    </a:prstGeom>
                  </pic:spPr>
                </pic:pic>
              </a:graphicData>
            </a:graphic>
            <wp14:sizeRelH relativeFrom="page">
              <wp14:pctWidth>0</wp14:pctWidth>
            </wp14:sizeRelH>
            <wp14:sizeRelV relativeFrom="page">
              <wp14:pctHeight>0</wp14:pctHeight>
            </wp14:sizeRelV>
          </wp:anchor>
        </w:drawing>
      </w:r>
      <w:r>
        <w:t>Die Akzeptanz der Entwässerungsrinne ACO DRAIN</w:t>
      </w:r>
      <w:r>
        <w:rPr>
          <w:rFonts w:cstheme="minorHAnsi"/>
        </w:rPr>
        <w:t>®</w:t>
      </w:r>
      <w:r>
        <w:t xml:space="preserve"> </w:t>
      </w:r>
      <w:r w:rsidRPr="00DA7354">
        <w:t xml:space="preserve">Multiline </w:t>
      </w:r>
      <w:r>
        <w:t xml:space="preserve">mit </w:t>
      </w:r>
      <w:r w:rsidRPr="00DA7354">
        <w:t>Seal</w:t>
      </w:r>
      <w:r>
        <w:t xml:space="preserve"> </w:t>
      </w:r>
      <w:r w:rsidRPr="00DA7354">
        <w:t>in</w:t>
      </w:r>
      <w:r>
        <w:t xml:space="preserve"> Technologie bei Planern und Verarbeitern bestätigte sich bereits nach der Produkteinführung auf der IFAT 2016. Der konsequente Schritt: Die Erweiterung des Programms. Der Nennweite 100 folgen nun die Nennweiten 150 und 200, wahlweise mit einem Kantenschutz aus verzinktem Stahl oder Edelstahl.</w:t>
      </w:r>
    </w:p>
    <w:p w:rsidR="000B27EC" w:rsidRDefault="000B27EC" w:rsidP="000B27EC">
      <w:r w:rsidRPr="00DA7354">
        <w:t xml:space="preserve">Neuartig ist das System </w:t>
      </w:r>
      <w:r w:rsidRPr="009D5D72">
        <w:rPr>
          <w:b/>
        </w:rPr>
        <w:t>Multiline HD Seal in</w:t>
      </w:r>
      <w:r w:rsidRPr="00DA7354">
        <w:t xml:space="preserve">, welches als Nachfolge der </w:t>
      </w:r>
      <w:r>
        <w:t>bisherigen Multiline</w:t>
      </w:r>
      <w:r w:rsidRPr="00DA7354">
        <w:t xml:space="preserve"> mit Kantenschutz aus Gusseisen erstmals präsentiert wird. In der Entwicklung des Rinnensystems haben die Ingenieure von ACO besonderes Augenmerk auf eine praxisgerechte Verwendung in Lkw-Verkehrsflächen gelegt. Der Zusatz HD beinhaltet eine verstärkte Rinnenkonstruktion mit einer 12</w:t>
      </w:r>
      <w:r>
        <w:t xml:space="preserve"> </w:t>
      </w:r>
      <w:r w:rsidRPr="00DA7354">
        <w:t xml:space="preserve">mm Gusskante, die in Verkehrsflächen der Belastungsklasse D 400 gem. DIN EN 1433 ein direktes Anarbeiten von Oberflächenbelägen ermöglicht.  </w:t>
      </w:r>
      <w:r w:rsidRPr="00A97952">
        <w:rPr>
          <w:iCs/>
        </w:rPr>
        <w:t xml:space="preserve">In der Kombination mit </w:t>
      </w:r>
      <w:proofErr w:type="gramStart"/>
      <w:r w:rsidRPr="00A97952">
        <w:rPr>
          <w:iCs/>
        </w:rPr>
        <w:t>der bekannten Seal</w:t>
      </w:r>
      <w:proofErr w:type="gramEnd"/>
      <w:r w:rsidRPr="00A97952">
        <w:rPr>
          <w:iCs/>
        </w:rPr>
        <w:t xml:space="preserve"> in Technologie bietet diese neue Entwässerungsrinne neue Mehrwerte unter dem Motto: „Schwerlast leicht gemacht“.</w:t>
      </w:r>
      <w:r>
        <w:rPr>
          <w:i/>
          <w:iCs/>
        </w:rPr>
        <w:t xml:space="preserve"> </w:t>
      </w:r>
      <w:r w:rsidRPr="00DA7354">
        <w:t>Daneben kann insbesondere in der Kombination mit Gussrosten in Längsstaboptik den stärker werdenden Ansprüchen einer anspruchsvollen</w:t>
      </w:r>
      <w:r>
        <w:t xml:space="preserve"> Freiflächengestaltung neue Möglichkeiten angeboten werden. Erweitert wird das umfangreiche Programm an Abdeckrosten durch einen verbesserten Schlitzrahmen, ebenfalls bis zur Nennweite 200.</w:t>
      </w:r>
    </w:p>
    <w:p w:rsidR="000B27EC" w:rsidRPr="00831929" w:rsidRDefault="000B27EC" w:rsidP="000B27EC">
      <w:pPr>
        <w:rPr>
          <w:bCs/>
        </w:rPr>
      </w:pPr>
      <w:r w:rsidRPr="00831929">
        <w:rPr>
          <w:bCs/>
        </w:rPr>
        <w:t xml:space="preserve">Überzeugen Sie sich selbst von den intelligenten Systemlösungen und besuchen Sie das </w:t>
      </w:r>
      <w:r>
        <w:rPr>
          <w:bCs/>
        </w:rPr>
        <w:t xml:space="preserve">ACO </w:t>
      </w:r>
      <w:r w:rsidRPr="00831929">
        <w:rPr>
          <w:bCs/>
        </w:rPr>
        <w:t xml:space="preserve">Team auf dem </w:t>
      </w:r>
      <w:r w:rsidRPr="00A62D0F">
        <w:rPr>
          <w:b/>
          <w:bCs/>
        </w:rPr>
        <w:t>Messestand 229/328, Halle B 3</w:t>
      </w:r>
      <w:r w:rsidRPr="00831929">
        <w:rPr>
          <w:bCs/>
        </w:rPr>
        <w:t>.</w:t>
      </w:r>
    </w:p>
    <w:p w:rsidR="000B27EC" w:rsidRDefault="000B27EC" w:rsidP="000B27EC">
      <w:pPr>
        <w:rPr>
          <w:rStyle w:val="Hyperlink"/>
          <w:bCs/>
        </w:rPr>
      </w:pPr>
      <w:r w:rsidRPr="00831929">
        <w:rPr>
          <w:bCs/>
        </w:rPr>
        <w:t xml:space="preserve">Weitere Informationen finden Sie unter </w:t>
      </w:r>
      <w:hyperlink r:id="rId8" w:history="1">
        <w:r w:rsidRPr="00831929">
          <w:rPr>
            <w:rStyle w:val="Hyperlink"/>
            <w:bCs/>
          </w:rPr>
          <w:t>www.aco-tiefbau.de</w:t>
        </w:r>
      </w:hyperlink>
    </w:p>
    <w:p w:rsidR="000B27EC" w:rsidRDefault="000B27EC" w:rsidP="00DB6D51">
      <w:r>
        <w:lastRenderedPageBreak/>
        <w:t>(ca. 6.100 Zeichen)</w:t>
      </w:r>
    </w:p>
    <w:sectPr w:rsidR="000B27EC">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6D51"/>
    <w:rsid w:val="00007CEB"/>
    <w:rsid w:val="00086540"/>
    <w:rsid w:val="000B27EC"/>
    <w:rsid w:val="00233426"/>
    <w:rsid w:val="00271080"/>
    <w:rsid w:val="00310340"/>
    <w:rsid w:val="0071753E"/>
    <w:rsid w:val="00DB6D51"/>
    <w:rsid w:val="00DC79A7"/>
    <w:rsid w:val="00F9720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489C4B"/>
  <w15:chartTrackingRefBased/>
  <w15:docId w15:val="{FAD41AA2-1123-45B3-9D01-EA6755548F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0B27E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co-tiefbau.de" TargetMode="Externa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851</Words>
  <Characters>5366</Characters>
  <Application>Microsoft Office Word</Application>
  <DocSecurity>0</DocSecurity>
  <Lines>44</Lines>
  <Paragraphs>12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2018-04-04T15:17:00Z</dcterms:created>
  <dcterms:modified xsi:type="dcterms:W3CDTF">2018-04-04T15:17:00Z</dcterms:modified>
</cp:coreProperties>
</file>